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1ED" w:rsidRPr="00BD26C4" w:rsidRDefault="003021ED" w:rsidP="003021ED">
      <w:pPr>
        <w:pStyle w:val="1"/>
        <w:rPr>
          <w:sz w:val="28"/>
          <w:szCs w:val="24"/>
        </w:rPr>
      </w:pPr>
      <w:bookmarkStart w:id="0" w:name="_Toc430265121"/>
      <w:r w:rsidRPr="00BD26C4">
        <w:rPr>
          <w:sz w:val="28"/>
          <w:szCs w:val="24"/>
        </w:rPr>
        <w:t>华中科技大学研究生硕博连读、临床转博管理办法</w:t>
      </w:r>
      <w:bookmarkEnd w:id="0"/>
    </w:p>
    <w:p w:rsidR="003021ED" w:rsidRPr="00BB4E82" w:rsidRDefault="00F806A5" w:rsidP="003021ED">
      <w:pPr>
        <w:pStyle w:val="2"/>
        <w:rPr>
          <w:rFonts w:hAnsi="宋体"/>
        </w:rPr>
      </w:pPr>
      <w:r w:rsidRPr="00BB4E82">
        <w:fldChar w:fldCharType="begin">
          <w:ffData>
            <w:name w:val="UnitCode"/>
            <w:enabled/>
            <w:calcOnExit w:val="0"/>
            <w:textInput/>
          </w:ffData>
        </w:fldChar>
      </w:r>
      <w:r w:rsidR="003021ED" w:rsidRPr="00BB4E82">
        <w:instrText xml:space="preserve"> FORMTEXT </w:instrText>
      </w:r>
      <w:r w:rsidRPr="00BB4E82">
        <w:fldChar w:fldCharType="separate"/>
      </w:r>
      <w:r w:rsidR="003021ED" w:rsidRPr="00BB4E82">
        <w:rPr>
          <w:rFonts w:hAnsi="宋体"/>
          <w:noProof/>
        </w:rPr>
        <w:t>校研</w:t>
      </w:r>
      <w:r w:rsidRPr="00BB4E82">
        <w:fldChar w:fldCharType="end"/>
      </w:r>
      <w:r w:rsidR="003021ED" w:rsidRPr="00BB4E82">
        <w:rPr>
          <w:rFonts w:hAnsi="宋体"/>
        </w:rPr>
        <w:t>〔</w:t>
      </w:r>
      <w:r w:rsidR="003021ED" w:rsidRPr="00BB4E82">
        <w:t>2014</w:t>
      </w:r>
      <w:r w:rsidR="003021ED" w:rsidRPr="00BB4E82">
        <w:rPr>
          <w:rFonts w:hAnsi="宋体"/>
        </w:rPr>
        <w:t>〕</w:t>
      </w:r>
      <w:r w:rsidR="003021ED" w:rsidRPr="00BB4E82">
        <w:t>16</w:t>
      </w:r>
      <w:r w:rsidR="003021ED" w:rsidRPr="00BB4E82">
        <w:rPr>
          <w:rFonts w:hAnsi="宋体"/>
        </w:rPr>
        <w:t>号</w:t>
      </w:r>
    </w:p>
    <w:p w:rsidR="003021ED" w:rsidRPr="00BB4E82" w:rsidRDefault="003021ED" w:rsidP="003021ED">
      <w:pPr>
        <w:pStyle w:val="3"/>
        <w:rPr>
          <w:kern w:val="0"/>
          <w:sz w:val="21"/>
          <w:szCs w:val="21"/>
        </w:rPr>
      </w:pPr>
      <w:r w:rsidRPr="00BB4E82">
        <w:rPr>
          <w:kern w:val="0"/>
          <w:sz w:val="21"/>
          <w:szCs w:val="21"/>
        </w:rPr>
        <w:t>第一章</w:t>
      </w:r>
      <w:r w:rsidRPr="00BB4E82">
        <w:rPr>
          <w:rFonts w:hint="eastAsia"/>
          <w:kern w:val="0"/>
          <w:sz w:val="21"/>
          <w:szCs w:val="21"/>
        </w:rPr>
        <w:t xml:space="preserve"> </w:t>
      </w:r>
      <w:r w:rsidRPr="00BB4E82">
        <w:rPr>
          <w:kern w:val="0"/>
          <w:sz w:val="21"/>
          <w:szCs w:val="21"/>
        </w:rPr>
        <w:t xml:space="preserve"> </w:t>
      </w:r>
      <w:r w:rsidRPr="00BB4E82">
        <w:rPr>
          <w:kern w:val="0"/>
          <w:sz w:val="21"/>
          <w:szCs w:val="21"/>
        </w:rPr>
        <w:t>总则</w:t>
      </w:r>
    </w:p>
    <w:p w:rsidR="003021ED" w:rsidRPr="00BB4E82" w:rsidRDefault="003021ED" w:rsidP="00BB4E82">
      <w:pPr>
        <w:snapToGrid w:val="0"/>
        <w:spacing w:line="324" w:lineRule="auto"/>
        <w:ind w:firstLineChars="200" w:firstLine="420"/>
        <w:rPr>
          <w:rFonts w:hAnsi="宋体"/>
          <w:kern w:val="0"/>
          <w:szCs w:val="21"/>
        </w:rPr>
      </w:pPr>
      <w:r w:rsidRPr="00BB4E82">
        <w:rPr>
          <w:rFonts w:eastAsia="黑体" w:hAnsi="宋体"/>
          <w:kern w:val="0"/>
          <w:szCs w:val="21"/>
        </w:rPr>
        <w:t>第一条</w:t>
      </w:r>
      <w:r w:rsidRPr="00BB4E82">
        <w:rPr>
          <w:rFonts w:eastAsia="黑体" w:hAnsi="宋体" w:hint="eastAsia"/>
          <w:kern w:val="0"/>
          <w:szCs w:val="21"/>
        </w:rPr>
        <w:t xml:space="preserve"> </w:t>
      </w:r>
      <w:r w:rsidRPr="00BB4E82">
        <w:rPr>
          <w:rFonts w:eastAsia="黑体"/>
          <w:szCs w:val="21"/>
        </w:rPr>
        <w:t xml:space="preserve"> </w:t>
      </w:r>
      <w:r w:rsidRPr="00BB4E82">
        <w:rPr>
          <w:rFonts w:hAnsi="宋体"/>
          <w:szCs w:val="21"/>
        </w:rPr>
        <w:t>学术学位</w:t>
      </w:r>
      <w:r w:rsidRPr="00BB4E82">
        <w:rPr>
          <w:rFonts w:hAnsi="宋体"/>
          <w:kern w:val="0"/>
          <w:szCs w:val="21"/>
        </w:rPr>
        <w:t>研究生硕博连读、临床医学专业学位硕士生转博（以下简称临床转博）是为适应国家经济、社会发展的需要和研究生教育改革的要求、提高博士生生源质量而推行的一种研究生培养模式，也是培养高层次人才的重要途径。</w:t>
      </w:r>
      <w:r w:rsidRPr="00BB4E82">
        <w:rPr>
          <w:rFonts w:hAnsi="宋体"/>
          <w:szCs w:val="21"/>
        </w:rPr>
        <w:t>根据《教育部</w:t>
      </w:r>
      <w:r w:rsidRPr="00BB4E82">
        <w:rPr>
          <w:szCs w:val="21"/>
        </w:rPr>
        <w:t xml:space="preserve"> </w:t>
      </w:r>
      <w:r w:rsidRPr="00BB4E82">
        <w:rPr>
          <w:rFonts w:hAnsi="宋体"/>
          <w:szCs w:val="21"/>
        </w:rPr>
        <w:t>国家发展改革委</w:t>
      </w:r>
      <w:r w:rsidRPr="00BB4E82">
        <w:rPr>
          <w:szCs w:val="21"/>
        </w:rPr>
        <w:t xml:space="preserve"> </w:t>
      </w:r>
      <w:r w:rsidRPr="00BB4E82">
        <w:rPr>
          <w:rFonts w:hAnsi="宋体"/>
          <w:szCs w:val="21"/>
        </w:rPr>
        <w:t>财政部关于深化研究生教育改革的意见》（教研〔</w:t>
      </w:r>
      <w:r w:rsidRPr="00BB4E82">
        <w:rPr>
          <w:szCs w:val="21"/>
        </w:rPr>
        <w:t>2013</w:t>
      </w:r>
      <w:r w:rsidRPr="00BB4E82">
        <w:rPr>
          <w:rFonts w:hAnsi="宋体"/>
          <w:szCs w:val="21"/>
        </w:rPr>
        <w:t>〕</w:t>
      </w:r>
      <w:r w:rsidRPr="00BB4E82">
        <w:rPr>
          <w:szCs w:val="21"/>
        </w:rPr>
        <w:t>1</w:t>
      </w:r>
      <w:r w:rsidRPr="00BB4E82">
        <w:rPr>
          <w:rFonts w:hAnsi="宋体"/>
          <w:szCs w:val="21"/>
        </w:rPr>
        <w:t>号）及《华中科技大学研究生教育改革实施方案》（校研〔</w:t>
      </w:r>
      <w:r w:rsidRPr="00BB4E82">
        <w:rPr>
          <w:szCs w:val="21"/>
        </w:rPr>
        <w:t>2014</w:t>
      </w:r>
      <w:r w:rsidRPr="00BB4E82">
        <w:rPr>
          <w:rFonts w:hAnsi="宋体"/>
          <w:szCs w:val="21"/>
        </w:rPr>
        <w:t>〕</w:t>
      </w:r>
      <w:r w:rsidRPr="00BB4E82">
        <w:rPr>
          <w:szCs w:val="21"/>
        </w:rPr>
        <w:t>2</w:t>
      </w:r>
      <w:r w:rsidRPr="00BB4E82">
        <w:rPr>
          <w:rFonts w:hAnsi="宋体"/>
          <w:szCs w:val="21"/>
        </w:rPr>
        <w:t>号）有关精神，</w:t>
      </w:r>
      <w:r w:rsidRPr="00BB4E82">
        <w:rPr>
          <w:rFonts w:hAnsi="宋体"/>
          <w:kern w:val="0"/>
          <w:szCs w:val="21"/>
        </w:rPr>
        <w:t>为进一步规范管理，提高研究生培养质量，特制定本办法。</w:t>
      </w:r>
    </w:p>
    <w:p w:rsidR="003021ED" w:rsidRPr="00BB4E82" w:rsidRDefault="003021ED" w:rsidP="00BB4E82">
      <w:pPr>
        <w:snapToGrid w:val="0"/>
        <w:spacing w:line="324" w:lineRule="auto"/>
        <w:ind w:firstLineChars="200" w:firstLine="420"/>
        <w:rPr>
          <w:kern w:val="0"/>
          <w:szCs w:val="21"/>
        </w:rPr>
      </w:pPr>
    </w:p>
    <w:p w:rsidR="003021ED" w:rsidRPr="00BB4E82" w:rsidRDefault="003021ED" w:rsidP="003021ED">
      <w:pPr>
        <w:pStyle w:val="3"/>
        <w:rPr>
          <w:kern w:val="0"/>
          <w:sz w:val="21"/>
          <w:szCs w:val="21"/>
        </w:rPr>
      </w:pPr>
      <w:r w:rsidRPr="00BB4E82">
        <w:rPr>
          <w:kern w:val="0"/>
          <w:sz w:val="21"/>
          <w:szCs w:val="21"/>
        </w:rPr>
        <w:t>第二章</w:t>
      </w:r>
      <w:r w:rsidRPr="00BB4E82">
        <w:rPr>
          <w:kern w:val="0"/>
          <w:sz w:val="21"/>
          <w:szCs w:val="21"/>
        </w:rPr>
        <w:t xml:space="preserve"> </w:t>
      </w:r>
      <w:r w:rsidRPr="00BB4E82">
        <w:rPr>
          <w:rFonts w:hint="eastAsia"/>
          <w:kern w:val="0"/>
          <w:sz w:val="21"/>
          <w:szCs w:val="21"/>
        </w:rPr>
        <w:t xml:space="preserve"> </w:t>
      </w:r>
      <w:r w:rsidRPr="00BB4E82">
        <w:rPr>
          <w:kern w:val="0"/>
          <w:sz w:val="21"/>
          <w:szCs w:val="21"/>
        </w:rPr>
        <w:t>选拔原则</w:t>
      </w:r>
    </w:p>
    <w:p w:rsidR="003021ED" w:rsidRPr="00BB4E82" w:rsidRDefault="003021ED" w:rsidP="00BB4E82">
      <w:pPr>
        <w:spacing w:line="324" w:lineRule="auto"/>
        <w:ind w:firstLineChars="200" w:firstLine="420"/>
        <w:rPr>
          <w:kern w:val="0"/>
          <w:szCs w:val="21"/>
        </w:rPr>
      </w:pPr>
      <w:r w:rsidRPr="00BB4E82">
        <w:rPr>
          <w:rFonts w:eastAsia="黑体" w:hAnsi="宋体"/>
          <w:kern w:val="0"/>
          <w:szCs w:val="21"/>
        </w:rPr>
        <w:t>第二条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凡我校具有博士学位授予权的学科、专业均可开展硕博连读工作，凡我校具有临床医学博士专业学位授予权的学科、专业均可开展临床转博工作。</w:t>
      </w:r>
    </w:p>
    <w:p w:rsidR="003021ED" w:rsidRPr="00BB4E82" w:rsidRDefault="003021ED" w:rsidP="00BB4E82">
      <w:pPr>
        <w:spacing w:line="324" w:lineRule="auto"/>
        <w:ind w:firstLineChars="200" w:firstLine="420"/>
        <w:rPr>
          <w:kern w:val="0"/>
          <w:szCs w:val="21"/>
        </w:rPr>
      </w:pPr>
      <w:r w:rsidRPr="00BB4E82">
        <w:rPr>
          <w:rFonts w:eastAsia="黑体" w:hAnsi="宋体"/>
          <w:kern w:val="0"/>
          <w:szCs w:val="21"/>
        </w:rPr>
        <w:t>第三条</w:t>
      </w:r>
      <w:r w:rsidRPr="00BB4E82">
        <w:rPr>
          <w:rFonts w:eastAsia="黑体" w:hAnsi="宋体" w:hint="eastAsia"/>
          <w:kern w:val="0"/>
          <w:szCs w:val="21"/>
        </w:rPr>
        <w:t xml:space="preserve"> </w:t>
      </w:r>
      <w:r w:rsidRPr="00BB4E82">
        <w:rPr>
          <w:rFonts w:eastAsia="黑体"/>
          <w:kern w:val="0"/>
          <w:szCs w:val="21"/>
        </w:rPr>
        <w:t xml:space="preserve"> </w:t>
      </w:r>
      <w:r w:rsidRPr="00BB4E82">
        <w:rPr>
          <w:rFonts w:hAnsi="宋体"/>
          <w:kern w:val="0"/>
          <w:szCs w:val="21"/>
        </w:rPr>
        <w:t>硕博连读研究生从优秀学术型硕士生中选拔。临床转博研究生从优秀临床医学专业学位硕士生中选拔。硕博连读原则上应在同一学科中进行</w:t>
      </w:r>
      <w:r w:rsidRPr="00BB4E82">
        <w:rPr>
          <w:kern w:val="0"/>
          <w:szCs w:val="21"/>
        </w:rPr>
        <w:t>,</w:t>
      </w:r>
      <w:r w:rsidRPr="00BB4E82">
        <w:rPr>
          <w:rFonts w:hAnsi="宋体"/>
          <w:kern w:val="0"/>
          <w:szCs w:val="21"/>
        </w:rPr>
        <w:t>临床转博必须在同一学科专业中进行。硕博连读、临床转博生的导师应具有博士生导师资格和招收博士生的条件。招收临床转博生的导师应有保证临床训练的床位数，原则上一名导师只接受一名临床转博生。</w:t>
      </w:r>
    </w:p>
    <w:p w:rsidR="003021ED" w:rsidRPr="00BB4E82" w:rsidRDefault="003021ED" w:rsidP="00BB4E82">
      <w:pPr>
        <w:spacing w:line="324" w:lineRule="auto"/>
        <w:ind w:firstLineChars="200" w:firstLine="420"/>
        <w:rPr>
          <w:kern w:val="0"/>
          <w:szCs w:val="21"/>
        </w:rPr>
      </w:pPr>
      <w:r w:rsidRPr="00BB4E82">
        <w:rPr>
          <w:rFonts w:eastAsia="黑体" w:hAnsi="宋体"/>
          <w:kern w:val="0"/>
          <w:szCs w:val="21"/>
        </w:rPr>
        <w:t>第四条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定向生、委培生、非临床医学的专业学位研究生不允许申请硕博连读、临床转博。</w:t>
      </w:r>
    </w:p>
    <w:p w:rsidR="003021ED" w:rsidRPr="00BB4E82" w:rsidRDefault="003021ED" w:rsidP="00BB4E82">
      <w:pPr>
        <w:spacing w:line="324" w:lineRule="auto"/>
        <w:ind w:firstLineChars="200" w:firstLine="420"/>
        <w:rPr>
          <w:rFonts w:hAnsi="宋体"/>
          <w:kern w:val="0"/>
          <w:szCs w:val="21"/>
        </w:rPr>
      </w:pPr>
      <w:r w:rsidRPr="00BB4E82">
        <w:rPr>
          <w:rFonts w:eastAsia="黑体" w:hAnsi="宋体"/>
          <w:kern w:val="0"/>
          <w:szCs w:val="21"/>
        </w:rPr>
        <w:t>第五条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各院（系）根据本单位当年博士生招生总指标数，自行确定硕博连读、临床转博的各自录取比例。</w:t>
      </w:r>
    </w:p>
    <w:p w:rsidR="003021ED" w:rsidRPr="00BB4E82" w:rsidRDefault="003021ED" w:rsidP="00BB4E82">
      <w:pPr>
        <w:spacing w:line="324" w:lineRule="auto"/>
        <w:ind w:firstLineChars="200" w:firstLine="420"/>
        <w:rPr>
          <w:kern w:val="0"/>
          <w:szCs w:val="21"/>
        </w:rPr>
      </w:pPr>
    </w:p>
    <w:p w:rsidR="003021ED" w:rsidRPr="00BB4E82" w:rsidRDefault="003021ED" w:rsidP="003021ED">
      <w:pPr>
        <w:pStyle w:val="3"/>
        <w:rPr>
          <w:kern w:val="0"/>
          <w:sz w:val="21"/>
          <w:szCs w:val="21"/>
        </w:rPr>
      </w:pPr>
      <w:r w:rsidRPr="00BB4E82">
        <w:rPr>
          <w:kern w:val="0"/>
          <w:sz w:val="21"/>
          <w:szCs w:val="21"/>
        </w:rPr>
        <w:t>第三章</w:t>
      </w:r>
      <w:r w:rsidRPr="00BB4E82">
        <w:rPr>
          <w:kern w:val="0"/>
          <w:sz w:val="21"/>
          <w:szCs w:val="21"/>
        </w:rPr>
        <w:t xml:space="preserve"> </w:t>
      </w:r>
      <w:r w:rsidRPr="00BB4E82">
        <w:rPr>
          <w:rFonts w:hint="eastAsia"/>
          <w:kern w:val="0"/>
          <w:sz w:val="21"/>
          <w:szCs w:val="21"/>
        </w:rPr>
        <w:t xml:space="preserve"> </w:t>
      </w:r>
      <w:r w:rsidRPr="00BB4E82">
        <w:rPr>
          <w:kern w:val="0"/>
          <w:sz w:val="21"/>
          <w:szCs w:val="21"/>
        </w:rPr>
        <w:t>硕博连读研究生选拔办法</w:t>
      </w:r>
    </w:p>
    <w:p w:rsidR="003021ED" w:rsidRPr="00BB4E82" w:rsidRDefault="003021ED" w:rsidP="00BB4E82">
      <w:pPr>
        <w:spacing w:line="324" w:lineRule="auto"/>
        <w:ind w:firstLineChars="200" w:firstLine="420"/>
        <w:rPr>
          <w:kern w:val="0"/>
          <w:szCs w:val="21"/>
        </w:rPr>
      </w:pPr>
      <w:r w:rsidRPr="00BB4E82">
        <w:rPr>
          <w:rFonts w:eastAsia="黑体" w:hAnsi="宋体"/>
          <w:kern w:val="0"/>
          <w:szCs w:val="21"/>
        </w:rPr>
        <w:t>第六条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对硕博连读研究生实行推荐制度和资格考试制度。拟申请硕博连读的硕士生须有至少两名所报考学科专业领域内的教授（或相当专业技术职称的专家）的书面推荐意见，并参加资格考试。</w:t>
      </w:r>
    </w:p>
    <w:p w:rsidR="003021ED" w:rsidRPr="00BB4E82" w:rsidRDefault="003021ED" w:rsidP="00BB4E82">
      <w:pPr>
        <w:spacing w:line="324" w:lineRule="auto"/>
        <w:ind w:firstLineChars="200" w:firstLine="420"/>
        <w:rPr>
          <w:kern w:val="0"/>
          <w:szCs w:val="21"/>
        </w:rPr>
      </w:pPr>
      <w:r w:rsidRPr="00BB4E82">
        <w:rPr>
          <w:rFonts w:eastAsia="黑体" w:hAnsi="宋体"/>
          <w:kern w:val="0"/>
          <w:szCs w:val="21"/>
        </w:rPr>
        <w:t>第七条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选拔硕博连读生是为培养学术型人才奠定基础，重点考察学生的基础理论知识，综合运用知识分析、解决问题的能力，以及科研潜质。</w:t>
      </w:r>
    </w:p>
    <w:p w:rsidR="003021ED" w:rsidRPr="00BB4E82" w:rsidRDefault="003021ED" w:rsidP="00BB4E82">
      <w:pPr>
        <w:spacing w:line="324" w:lineRule="auto"/>
        <w:ind w:firstLineChars="200" w:firstLine="420"/>
        <w:rPr>
          <w:kern w:val="0"/>
          <w:szCs w:val="21"/>
        </w:rPr>
      </w:pPr>
      <w:r w:rsidRPr="00BB4E82">
        <w:rPr>
          <w:rFonts w:eastAsia="黑体" w:hAnsi="宋体"/>
          <w:kern w:val="0"/>
          <w:szCs w:val="21"/>
        </w:rPr>
        <w:t>第八条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硕博连读研究生一般于硕士生第二学期或第四学期内确定</w:t>
      </w:r>
      <w:r w:rsidRPr="00BB4E82">
        <w:rPr>
          <w:kern w:val="0"/>
          <w:szCs w:val="21"/>
        </w:rPr>
        <w:t>(</w:t>
      </w:r>
      <w:r w:rsidRPr="00BB4E82">
        <w:rPr>
          <w:rFonts w:hAnsi="宋体"/>
          <w:kern w:val="0"/>
          <w:szCs w:val="21"/>
        </w:rPr>
        <w:t>硕博贯通培养研究生在第四学期确定</w:t>
      </w:r>
      <w:r w:rsidRPr="00BB4E82">
        <w:rPr>
          <w:kern w:val="0"/>
          <w:szCs w:val="21"/>
        </w:rPr>
        <w:t>)</w:t>
      </w:r>
      <w:r w:rsidRPr="00BB4E82">
        <w:rPr>
          <w:rFonts w:hAnsi="宋体"/>
          <w:kern w:val="0"/>
          <w:szCs w:val="21"/>
        </w:rPr>
        <w:t>。由学生本人向所在院（系）提出申请，填写华中科技大学硕博连读申请表，并按申请表要求提供相关证明材料。通过院（系）审核，符合条件者参加资格考试。</w:t>
      </w:r>
    </w:p>
    <w:p w:rsidR="003021ED" w:rsidRPr="00BB4E82" w:rsidRDefault="003021ED" w:rsidP="00BB4E82">
      <w:pPr>
        <w:spacing w:line="324" w:lineRule="auto"/>
        <w:ind w:firstLineChars="200" w:firstLine="420"/>
        <w:rPr>
          <w:kern w:val="0"/>
          <w:szCs w:val="21"/>
        </w:rPr>
      </w:pPr>
      <w:r w:rsidRPr="00BB4E82">
        <w:rPr>
          <w:rFonts w:eastAsia="黑体" w:hAnsi="宋体"/>
          <w:kern w:val="0"/>
          <w:szCs w:val="21"/>
        </w:rPr>
        <w:t>第九条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资格考试由院（系）负责组织实施。各院（系）应成立由分管研究生培养工作负责人</w:t>
      </w:r>
      <w:r w:rsidRPr="00BB4E82">
        <w:rPr>
          <w:rFonts w:hAnsi="宋体"/>
          <w:kern w:val="0"/>
          <w:szCs w:val="21"/>
        </w:rPr>
        <w:lastRenderedPageBreak/>
        <w:t>为主席的资格考试委员会（</w:t>
      </w:r>
      <w:r w:rsidRPr="00BB4E82">
        <w:rPr>
          <w:kern w:val="0"/>
          <w:szCs w:val="21"/>
        </w:rPr>
        <w:t>3</w:t>
      </w:r>
      <w:r w:rsidRPr="00BB4E82">
        <w:rPr>
          <w:rFonts w:hAnsi="宋体"/>
          <w:kern w:val="0"/>
          <w:szCs w:val="21"/>
        </w:rPr>
        <w:t>～</w:t>
      </w:r>
      <w:r w:rsidRPr="00BB4E82">
        <w:rPr>
          <w:kern w:val="0"/>
          <w:szCs w:val="21"/>
        </w:rPr>
        <w:t>5</w:t>
      </w:r>
      <w:r w:rsidRPr="00BB4E82">
        <w:rPr>
          <w:rFonts w:hAnsi="宋体"/>
          <w:kern w:val="0"/>
          <w:szCs w:val="21"/>
        </w:rPr>
        <w:t>人，原则上由博士生导师组成，并另设秘书</w:t>
      </w:r>
      <w:r w:rsidRPr="00BB4E82">
        <w:rPr>
          <w:kern w:val="0"/>
          <w:szCs w:val="21"/>
        </w:rPr>
        <w:t>1</w:t>
      </w:r>
      <w:r w:rsidRPr="00BB4E82">
        <w:rPr>
          <w:rFonts w:hAnsi="宋体"/>
          <w:kern w:val="0"/>
          <w:szCs w:val="21"/>
        </w:rPr>
        <w:t>名）</w:t>
      </w:r>
      <w:r w:rsidRPr="00BB4E82">
        <w:rPr>
          <w:kern w:val="0"/>
          <w:szCs w:val="21"/>
        </w:rPr>
        <w:t>,</w:t>
      </w:r>
      <w:r w:rsidRPr="00BB4E82">
        <w:rPr>
          <w:rFonts w:hAnsi="宋体"/>
          <w:kern w:val="0"/>
          <w:szCs w:val="21"/>
        </w:rPr>
        <w:t>下设资格考试命题小组，负责本院（系）的资格考试命题、印卷、考务组织和阅卷工作。</w:t>
      </w:r>
    </w:p>
    <w:p w:rsidR="003021ED" w:rsidRPr="00BB4E82" w:rsidRDefault="003021ED" w:rsidP="00BB4E82">
      <w:pPr>
        <w:spacing w:line="324" w:lineRule="auto"/>
        <w:ind w:firstLineChars="200" w:firstLine="420"/>
        <w:rPr>
          <w:kern w:val="0"/>
          <w:szCs w:val="21"/>
        </w:rPr>
      </w:pPr>
      <w:r w:rsidRPr="00BB4E82">
        <w:rPr>
          <w:rFonts w:eastAsia="黑体" w:hAnsi="宋体"/>
          <w:kern w:val="0"/>
          <w:szCs w:val="21"/>
        </w:rPr>
        <w:t>第十条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资格考试分笔试和面试。笔试科目为专业综合</w:t>
      </w:r>
      <w:r w:rsidRPr="00BB4E82">
        <w:rPr>
          <w:kern w:val="0"/>
          <w:szCs w:val="21"/>
        </w:rPr>
        <w:t>,</w:t>
      </w:r>
      <w:r w:rsidRPr="00BB4E82">
        <w:rPr>
          <w:rFonts w:hAnsi="宋体"/>
          <w:kern w:val="0"/>
          <w:szCs w:val="21"/>
        </w:rPr>
        <w:t>命题内容包括学科基础和专业核心课程内容。其中理工科应包括数学、计算机、学科基础及各专业核心课程内容若干题；其他学科可根据各自特点决定。面试小组应有</w:t>
      </w:r>
      <w:r w:rsidRPr="00BB4E82">
        <w:rPr>
          <w:kern w:val="0"/>
          <w:szCs w:val="21"/>
        </w:rPr>
        <w:t>3</w:t>
      </w:r>
      <w:r w:rsidRPr="00BB4E82">
        <w:rPr>
          <w:rFonts w:hAnsi="宋体"/>
          <w:kern w:val="0"/>
          <w:szCs w:val="21"/>
        </w:rPr>
        <w:t>名以上教授组成</w:t>
      </w:r>
      <w:r w:rsidRPr="00BB4E82">
        <w:rPr>
          <w:kern w:val="0"/>
          <w:szCs w:val="21"/>
        </w:rPr>
        <w:t>,</w:t>
      </w:r>
      <w:r w:rsidRPr="00BB4E82">
        <w:rPr>
          <w:rFonts w:hAnsi="宋体"/>
          <w:kern w:val="0"/>
          <w:szCs w:val="21"/>
        </w:rPr>
        <w:t>面试内容应以考核其知识综合运用能力、科研思维能力和综合素质为主。各院（系）在组织实施资格考试过程中，务必注意对一、二年级硕士生硕博连读选拔考核应各有侧重。</w:t>
      </w:r>
    </w:p>
    <w:p w:rsidR="003021ED" w:rsidRPr="00BB4E82" w:rsidRDefault="003021ED" w:rsidP="00BB4E82">
      <w:pPr>
        <w:spacing w:line="324" w:lineRule="auto"/>
        <w:ind w:firstLineChars="200" w:firstLine="420"/>
        <w:rPr>
          <w:rFonts w:hAnsi="宋体"/>
          <w:kern w:val="0"/>
          <w:szCs w:val="21"/>
        </w:rPr>
      </w:pPr>
      <w:r w:rsidRPr="00BB4E82">
        <w:rPr>
          <w:rFonts w:eastAsia="黑体" w:hAnsi="宋体"/>
          <w:kern w:val="0"/>
          <w:szCs w:val="21"/>
        </w:rPr>
        <w:t>第十一条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院（系）根据资格考试结果，择优推荐符合博士生资格认定条件的研究生，名单报研究生院，由研究生院审核后报校领导批准，确定获得博士生资格的研究生名单。</w:t>
      </w:r>
    </w:p>
    <w:p w:rsidR="003021ED" w:rsidRPr="00BB4E82" w:rsidRDefault="003021ED" w:rsidP="00BB4E82">
      <w:pPr>
        <w:spacing w:line="324" w:lineRule="auto"/>
        <w:ind w:firstLineChars="200" w:firstLine="420"/>
        <w:rPr>
          <w:kern w:val="0"/>
          <w:szCs w:val="21"/>
        </w:rPr>
      </w:pPr>
    </w:p>
    <w:p w:rsidR="003021ED" w:rsidRPr="00BB4E82" w:rsidRDefault="003021ED" w:rsidP="003021ED">
      <w:pPr>
        <w:pStyle w:val="3"/>
        <w:rPr>
          <w:kern w:val="0"/>
          <w:sz w:val="21"/>
          <w:szCs w:val="21"/>
        </w:rPr>
      </w:pPr>
      <w:r w:rsidRPr="00BB4E82">
        <w:rPr>
          <w:kern w:val="0"/>
          <w:sz w:val="21"/>
          <w:szCs w:val="21"/>
        </w:rPr>
        <w:t>第四章</w:t>
      </w:r>
      <w:r w:rsidRPr="00BB4E82">
        <w:rPr>
          <w:kern w:val="0"/>
          <w:sz w:val="21"/>
          <w:szCs w:val="21"/>
        </w:rPr>
        <w:t xml:space="preserve"> </w:t>
      </w:r>
      <w:r w:rsidRPr="00BB4E82">
        <w:rPr>
          <w:rFonts w:hint="eastAsia"/>
          <w:kern w:val="0"/>
          <w:sz w:val="21"/>
          <w:szCs w:val="21"/>
        </w:rPr>
        <w:t xml:space="preserve"> </w:t>
      </w:r>
      <w:r w:rsidRPr="00BB4E82">
        <w:rPr>
          <w:kern w:val="0"/>
          <w:sz w:val="21"/>
          <w:szCs w:val="21"/>
        </w:rPr>
        <w:t>临床转博研究生选拔方法</w:t>
      </w:r>
    </w:p>
    <w:p w:rsidR="003021ED" w:rsidRPr="00BB4E82" w:rsidRDefault="003021ED" w:rsidP="00BB4E82">
      <w:pPr>
        <w:spacing w:line="324" w:lineRule="auto"/>
        <w:ind w:firstLineChars="200" w:firstLine="420"/>
        <w:rPr>
          <w:kern w:val="0"/>
          <w:szCs w:val="21"/>
        </w:rPr>
      </w:pPr>
      <w:r w:rsidRPr="00BB4E82">
        <w:rPr>
          <w:rFonts w:eastAsia="黑体" w:hAnsi="宋体"/>
          <w:kern w:val="0"/>
          <w:szCs w:val="21"/>
        </w:rPr>
        <w:t>第十二条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临床医学专业学位研究生采取</w:t>
      </w:r>
      <w:r w:rsidRPr="00BB4E82">
        <w:rPr>
          <w:rFonts w:ascii="宋体" w:hAnsi="宋体"/>
          <w:kern w:val="0"/>
          <w:szCs w:val="21"/>
        </w:rPr>
        <w:t>“</w:t>
      </w:r>
      <w:r w:rsidRPr="00BB4E82">
        <w:rPr>
          <w:rFonts w:hAnsi="宋体"/>
          <w:kern w:val="0"/>
          <w:szCs w:val="21"/>
        </w:rPr>
        <w:t>硕博分段连续培养、阶段考核筛选、择优进入第二阶段、攻读博士学位</w:t>
      </w:r>
      <w:r w:rsidRPr="00BB4E82">
        <w:rPr>
          <w:rFonts w:ascii="宋体" w:hAnsi="宋体"/>
          <w:kern w:val="0"/>
          <w:szCs w:val="21"/>
        </w:rPr>
        <w:t>”</w:t>
      </w:r>
      <w:r w:rsidRPr="00BB4E82">
        <w:rPr>
          <w:rFonts w:hAnsi="宋体"/>
          <w:kern w:val="0"/>
          <w:szCs w:val="21"/>
        </w:rPr>
        <w:t>的培养方式。临床转博是临床医学专业学位研究生培养的中期筛选方式。</w:t>
      </w:r>
      <w:r w:rsidRPr="00BB4E82">
        <w:rPr>
          <w:kern w:val="0"/>
          <w:szCs w:val="21"/>
        </w:rPr>
        <w:t xml:space="preserve"> </w:t>
      </w:r>
    </w:p>
    <w:p w:rsidR="003021ED" w:rsidRPr="00BB4E82" w:rsidRDefault="003021ED" w:rsidP="00BB4E82">
      <w:pPr>
        <w:spacing w:line="324" w:lineRule="auto"/>
        <w:ind w:firstLineChars="200" w:firstLine="420"/>
        <w:rPr>
          <w:kern w:val="0"/>
          <w:szCs w:val="21"/>
        </w:rPr>
      </w:pPr>
      <w:r w:rsidRPr="00BB4E82">
        <w:rPr>
          <w:rFonts w:eastAsia="黑体" w:hAnsi="宋体"/>
          <w:kern w:val="0"/>
          <w:szCs w:val="21"/>
        </w:rPr>
        <w:t>第十三条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临床转博一般于硕士生第六学期确定。临床医学专业学位研究生在完成硕士阶段的培养内容后，按要求提交相关资料，进行思想品德的阶段考核，合格者参加临床技能的阶段考核，阶段考核优秀者，获得临床转博资格。</w:t>
      </w:r>
    </w:p>
    <w:p w:rsidR="003021ED" w:rsidRPr="00BB4E82" w:rsidRDefault="003021ED" w:rsidP="00BB4E82">
      <w:pPr>
        <w:spacing w:line="324" w:lineRule="auto"/>
        <w:ind w:firstLineChars="200" w:firstLine="420"/>
        <w:rPr>
          <w:kern w:val="0"/>
          <w:szCs w:val="21"/>
        </w:rPr>
      </w:pPr>
      <w:r w:rsidRPr="00BB4E82">
        <w:rPr>
          <w:rFonts w:eastAsia="黑体" w:hAnsi="宋体"/>
          <w:kern w:val="0"/>
          <w:szCs w:val="21"/>
        </w:rPr>
        <w:t>第十四条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临床能力的阶段考核由学校统一组织，根据考核结果，择优确定临床转博研究生名单并报校领导批准，确定获得博士生资格的研究生名单。</w:t>
      </w:r>
    </w:p>
    <w:p w:rsidR="003021ED" w:rsidRPr="00BB4E82" w:rsidRDefault="003021ED" w:rsidP="00BB4E82">
      <w:pPr>
        <w:snapToGrid w:val="0"/>
        <w:spacing w:line="324" w:lineRule="auto"/>
        <w:ind w:firstLineChars="200" w:firstLine="420"/>
        <w:rPr>
          <w:kern w:val="0"/>
          <w:szCs w:val="21"/>
        </w:rPr>
      </w:pPr>
      <w:r w:rsidRPr="00BB4E82">
        <w:rPr>
          <w:rFonts w:eastAsia="黑体" w:hAnsi="宋体"/>
          <w:kern w:val="0"/>
          <w:szCs w:val="21"/>
        </w:rPr>
        <w:t>第十五条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优良的思想品德和高尚的医德是临床医学专业学位研究生培养质量的重要评价指标。有下列情况之一者，不予受理其临床转博的资格申请。</w:t>
      </w:r>
    </w:p>
    <w:p w:rsidR="003021ED" w:rsidRPr="00BB4E82" w:rsidRDefault="003021ED" w:rsidP="00BB4E82">
      <w:pPr>
        <w:snapToGrid w:val="0"/>
        <w:spacing w:line="324" w:lineRule="auto"/>
        <w:ind w:firstLineChars="200" w:firstLine="420"/>
        <w:rPr>
          <w:kern w:val="0"/>
          <w:szCs w:val="21"/>
        </w:rPr>
      </w:pPr>
      <w:r w:rsidRPr="00BB4E82">
        <w:rPr>
          <w:kern w:val="0"/>
          <w:szCs w:val="21"/>
        </w:rPr>
        <w:t>1</w:t>
      </w:r>
      <w:r w:rsidRPr="00BB4E82">
        <w:rPr>
          <w:rFonts w:hint="eastAsia"/>
          <w:kern w:val="0"/>
          <w:szCs w:val="21"/>
        </w:rPr>
        <w:t>．</w:t>
      </w:r>
      <w:r w:rsidRPr="00BB4E82">
        <w:rPr>
          <w:rFonts w:hAnsi="宋体"/>
          <w:kern w:val="0"/>
          <w:szCs w:val="21"/>
        </w:rPr>
        <w:t>发生医疗责任事故。</w:t>
      </w:r>
    </w:p>
    <w:p w:rsidR="003021ED" w:rsidRPr="00BB4E82" w:rsidRDefault="003021ED" w:rsidP="00BB4E82">
      <w:pPr>
        <w:snapToGrid w:val="0"/>
        <w:spacing w:line="324" w:lineRule="auto"/>
        <w:ind w:firstLineChars="200" w:firstLine="420"/>
        <w:rPr>
          <w:kern w:val="0"/>
          <w:szCs w:val="21"/>
        </w:rPr>
      </w:pPr>
      <w:r w:rsidRPr="00BB4E82">
        <w:rPr>
          <w:kern w:val="0"/>
          <w:szCs w:val="21"/>
        </w:rPr>
        <w:t>2</w:t>
      </w:r>
      <w:r w:rsidRPr="00BB4E82">
        <w:rPr>
          <w:rFonts w:hint="eastAsia"/>
          <w:kern w:val="0"/>
          <w:szCs w:val="21"/>
        </w:rPr>
        <w:t>．</w:t>
      </w:r>
      <w:r w:rsidRPr="00BB4E82">
        <w:rPr>
          <w:rFonts w:hAnsi="宋体"/>
          <w:kern w:val="0"/>
          <w:szCs w:val="21"/>
        </w:rPr>
        <w:t>考试作弊、弄虚作假等。</w:t>
      </w:r>
    </w:p>
    <w:p w:rsidR="003021ED" w:rsidRPr="00BB4E82" w:rsidRDefault="003021ED" w:rsidP="00BB4E82">
      <w:pPr>
        <w:snapToGrid w:val="0"/>
        <w:spacing w:line="324" w:lineRule="auto"/>
        <w:ind w:firstLineChars="200" w:firstLine="420"/>
        <w:rPr>
          <w:kern w:val="0"/>
          <w:szCs w:val="21"/>
        </w:rPr>
      </w:pPr>
      <w:r w:rsidRPr="00BB4E82">
        <w:rPr>
          <w:kern w:val="0"/>
          <w:szCs w:val="21"/>
        </w:rPr>
        <w:t>3</w:t>
      </w:r>
      <w:r w:rsidRPr="00BB4E82">
        <w:rPr>
          <w:rFonts w:hint="eastAsia"/>
          <w:kern w:val="0"/>
          <w:szCs w:val="21"/>
        </w:rPr>
        <w:t>．</w:t>
      </w:r>
      <w:r w:rsidRPr="00BB4E82">
        <w:rPr>
          <w:rFonts w:hAnsi="宋体"/>
          <w:kern w:val="0"/>
          <w:szCs w:val="21"/>
        </w:rPr>
        <w:t>受到行政处罚或国家法律制裁。</w:t>
      </w:r>
    </w:p>
    <w:p w:rsidR="003021ED" w:rsidRPr="00BB4E82" w:rsidRDefault="003021ED" w:rsidP="003021ED">
      <w:pPr>
        <w:pStyle w:val="3"/>
        <w:rPr>
          <w:kern w:val="0"/>
          <w:sz w:val="21"/>
          <w:szCs w:val="21"/>
        </w:rPr>
      </w:pPr>
      <w:r w:rsidRPr="00BB4E82">
        <w:rPr>
          <w:kern w:val="0"/>
          <w:sz w:val="21"/>
          <w:szCs w:val="21"/>
        </w:rPr>
        <w:t>第五章</w:t>
      </w:r>
      <w:r w:rsidRPr="00BB4E82">
        <w:rPr>
          <w:rFonts w:hint="eastAsia"/>
          <w:kern w:val="0"/>
          <w:sz w:val="21"/>
          <w:szCs w:val="21"/>
        </w:rPr>
        <w:t xml:space="preserve"> </w:t>
      </w:r>
      <w:r w:rsidRPr="00BB4E82">
        <w:rPr>
          <w:kern w:val="0"/>
          <w:sz w:val="21"/>
          <w:szCs w:val="21"/>
        </w:rPr>
        <w:t xml:space="preserve"> </w:t>
      </w:r>
      <w:r w:rsidRPr="00BB4E82">
        <w:rPr>
          <w:kern w:val="0"/>
          <w:sz w:val="21"/>
          <w:szCs w:val="21"/>
        </w:rPr>
        <w:t>培养及待遇</w:t>
      </w:r>
    </w:p>
    <w:p w:rsidR="003021ED" w:rsidRPr="00BB4E82" w:rsidRDefault="003021ED" w:rsidP="00BB4E82">
      <w:pPr>
        <w:spacing w:line="324" w:lineRule="auto"/>
        <w:ind w:firstLineChars="200" w:firstLine="420"/>
        <w:rPr>
          <w:kern w:val="0"/>
          <w:szCs w:val="21"/>
        </w:rPr>
      </w:pPr>
      <w:r w:rsidRPr="00BB4E82">
        <w:rPr>
          <w:rFonts w:eastAsia="黑体" w:hAnsi="宋体"/>
          <w:kern w:val="0"/>
          <w:szCs w:val="21"/>
        </w:rPr>
        <w:t>第十六条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获得硕博连读、临床转博资格的研究生从下一学年开始转为博士研究生。</w:t>
      </w:r>
    </w:p>
    <w:p w:rsidR="003021ED" w:rsidRPr="00BB4E82" w:rsidRDefault="003021ED" w:rsidP="00BB4E82">
      <w:pPr>
        <w:spacing w:line="324" w:lineRule="auto"/>
        <w:ind w:firstLineChars="200" w:firstLine="420"/>
        <w:rPr>
          <w:kern w:val="0"/>
          <w:szCs w:val="21"/>
        </w:rPr>
      </w:pPr>
      <w:r w:rsidRPr="00BB4E82">
        <w:rPr>
          <w:rFonts w:eastAsia="黑体" w:hAnsi="宋体"/>
          <w:kern w:val="0"/>
          <w:szCs w:val="21"/>
        </w:rPr>
        <w:t>第十七条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硕博连读、临床转博研究生应在导师指导下依据硕博连读、临床转博相关培养方案制定和修改个人培养计划，调整学习进度。</w:t>
      </w:r>
    </w:p>
    <w:p w:rsidR="003021ED" w:rsidRPr="00BB4E82" w:rsidRDefault="003021ED" w:rsidP="00BB4E82">
      <w:pPr>
        <w:tabs>
          <w:tab w:val="left" w:pos="540"/>
        </w:tabs>
        <w:spacing w:line="324" w:lineRule="auto"/>
        <w:ind w:firstLineChars="200" w:firstLine="420"/>
        <w:rPr>
          <w:rFonts w:hAnsi="宋体"/>
          <w:kern w:val="0"/>
          <w:szCs w:val="21"/>
        </w:rPr>
      </w:pPr>
      <w:r w:rsidRPr="00BB4E82">
        <w:rPr>
          <w:rFonts w:eastAsia="黑体" w:hAnsi="宋体"/>
          <w:kern w:val="0"/>
          <w:szCs w:val="21"/>
        </w:rPr>
        <w:t>第十八条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硕博连读、临床转博研究生从转为博士生开始享受博士生待遇，是否享受全额奖学金由各院系根据相关规定决定。</w:t>
      </w:r>
    </w:p>
    <w:p w:rsidR="003021ED" w:rsidRPr="00BB4E82" w:rsidRDefault="003021ED" w:rsidP="003021ED">
      <w:pPr>
        <w:pStyle w:val="3"/>
        <w:rPr>
          <w:kern w:val="0"/>
          <w:sz w:val="21"/>
          <w:szCs w:val="21"/>
        </w:rPr>
      </w:pPr>
      <w:r w:rsidRPr="00BB4E82">
        <w:rPr>
          <w:kern w:val="0"/>
          <w:sz w:val="21"/>
          <w:szCs w:val="21"/>
        </w:rPr>
        <w:t>第</w:t>
      </w:r>
      <w:r w:rsidRPr="00BB4E82">
        <w:rPr>
          <w:rFonts w:hint="eastAsia"/>
          <w:kern w:val="0"/>
          <w:sz w:val="21"/>
          <w:szCs w:val="21"/>
        </w:rPr>
        <w:t>六</w:t>
      </w:r>
      <w:r w:rsidRPr="00BB4E82">
        <w:rPr>
          <w:kern w:val="0"/>
          <w:sz w:val="21"/>
          <w:szCs w:val="21"/>
        </w:rPr>
        <w:t>章</w:t>
      </w:r>
      <w:r w:rsidRPr="00BB4E82">
        <w:rPr>
          <w:kern w:val="0"/>
          <w:sz w:val="21"/>
          <w:szCs w:val="21"/>
        </w:rPr>
        <w:t xml:space="preserve"> </w:t>
      </w:r>
      <w:r w:rsidRPr="00BB4E82">
        <w:rPr>
          <w:rFonts w:hint="eastAsia"/>
          <w:kern w:val="0"/>
          <w:sz w:val="21"/>
          <w:szCs w:val="21"/>
        </w:rPr>
        <w:t xml:space="preserve"> </w:t>
      </w:r>
      <w:r w:rsidRPr="00BB4E82">
        <w:rPr>
          <w:kern w:val="0"/>
          <w:sz w:val="21"/>
          <w:szCs w:val="21"/>
        </w:rPr>
        <w:t>附则</w:t>
      </w:r>
    </w:p>
    <w:p w:rsidR="003021ED" w:rsidRPr="001901B2" w:rsidRDefault="003021ED" w:rsidP="00AF7A07">
      <w:pPr>
        <w:spacing w:line="324" w:lineRule="auto"/>
        <w:ind w:firstLineChars="200" w:firstLine="420"/>
        <w:rPr>
          <w:b/>
          <w:sz w:val="24"/>
        </w:rPr>
      </w:pPr>
      <w:r w:rsidRPr="00BB4E82">
        <w:rPr>
          <w:rFonts w:eastAsia="黑体" w:hAnsi="宋体"/>
          <w:kern w:val="0"/>
          <w:szCs w:val="21"/>
        </w:rPr>
        <w:t>第十九条</w:t>
      </w:r>
      <w:r w:rsidRPr="00BB4E82">
        <w:rPr>
          <w:rFonts w:eastAsia="黑体"/>
          <w:kern w:val="0"/>
          <w:szCs w:val="21"/>
        </w:rPr>
        <w:t xml:space="preserve"> </w:t>
      </w:r>
      <w:r w:rsidRPr="00BB4E82">
        <w:rPr>
          <w:rFonts w:eastAsia="黑体" w:hint="eastAsia"/>
          <w:kern w:val="0"/>
          <w:szCs w:val="21"/>
        </w:rPr>
        <w:t xml:space="preserve"> </w:t>
      </w:r>
      <w:r w:rsidRPr="00BB4E82">
        <w:rPr>
          <w:rFonts w:hAnsi="宋体"/>
          <w:kern w:val="0"/>
          <w:szCs w:val="21"/>
        </w:rPr>
        <w:t>本办法自发布之日起执行，由研究生院负责解释。原《华中科技大学研究生硕博连读、临床转博管理办法》（校研〔</w:t>
      </w:r>
      <w:r w:rsidRPr="00BB4E82">
        <w:rPr>
          <w:kern w:val="0"/>
          <w:szCs w:val="21"/>
        </w:rPr>
        <w:t>2012</w:t>
      </w:r>
      <w:r w:rsidRPr="00BB4E82">
        <w:rPr>
          <w:rFonts w:hAnsi="宋体"/>
          <w:kern w:val="0"/>
          <w:szCs w:val="21"/>
        </w:rPr>
        <w:t>〕</w:t>
      </w:r>
      <w:r w:rsidRPr="00BB4E82">
        <w:rPr>
          <w:kern w:val="0"/>
          <w:szCs w:val="21"/>
        </w:rPr>
        <w:t>20</w:t>
      </w:r>
      <w:r w:rsidRPr="00BB4E82">
        <w:rPr>
          <w:rFonts w:hAnsi="宋体"/>
          <w:kern w:val="0"/>
          <w:szCs w:val="21"/>
        </w:rPr>
        <w:t>号）同时废止。</w:t>
      </w:r>
    </w:p>
    <w:sectPr w:rsidR="003021ED" w:rsidRPr="001901B2" w:rsidSect="007F0AC6">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387" w:rsidRDefault="00C72387" w:rsidP="00AC68ED">
      <w:r>
        <w:separator/>
      </w:r>
    </w:p>
  </w:endnote>
  <w:endnote w:type="continuationSeparator" w:id="1">
    <w:p w:rsidR="00C72387" w:rsidRDefault="00C72387" w:rsidP="00AC68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387" w:rsidRDefault="00C72387" w:rsidP="00AC68ED">
      <w:r>
        <w:separator/>
      </w:r>
    </w:p>
  </w:footnote>
  <w:footnote w:type="continuationSeparator" w:id="1">
    <w:p w:rsidR="00C72387" w:rsidRDefault="00C72387" w:rsidP="00AC68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531E5"/>
    <w:multiLevelType w:val="hybridMultilevel"/>
    <w:tmpl w:val="75F0DD54"/>
    <w:lvl w:ilvl="0" w:tplc="9E14DA6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C68ED"/>
    <w:rsid w:val="00003389"/>
    <w:rsid w:val="00015843"/>
    <w:rsid w:val="000620CB"/>
    <w:rsid w:val="00094C8A"/>
    <w:rsid w:val="000A68E2"/>
    <w:rsid w:val="000C6CBD"/>
    <w:rsid w:val="000D7C07"/>
    <w:rsid w:val="000F0509"/>
    <w:rsid w:val="00105C2D"/>
    <w:rsid w:val="00120498"/>
    <w:rsid w:val="001316D2"/>
    <w:rsid w:val="00146397"/>
    <w:rsid w:val="00154320"/>
    <w:rsid w:val="00164FAB"/>
    <w:rsid w:val="00170F81"/>
    <w:rsid w:val="00176318"/>
    <w:rsid w:val="00180A30"/>
    <w:rsid w:val="001814D9"/>
    <w:rsid w:val="00184EF7"/>
    <w:rsid w:val="00185316"/>
    <w:rsid w:val="00187391"/>
    <w:rsid w:val="00194BDE"/>
    <w:rsid w:val="001B0F5A"/>
    <w:rsid w:val="001C722D"/>
    <w:rsid w:val="001E2FEE"/>
    <w:rsid w:val="001E3DB1"/>
    <w:rsid w:val="00210C4E"/>
    <w:rsid w:val="00212C47"/>
    <w:rsid w:val="00213C9C"/>
    <w:rsid w:val="00215A91"/>
    <w:rsid w:val="0022439A"/>
    <w:rsid w:val="0022766C"/>
    <w:rsid w:val="00230C81"/>
    <w:rsid w:val="00233986"/>
    <w:rsid w:val="002350F7"/>
    <w:rsid w:val="00241DD2"/>
    <w:rsid w:val="002459A4"/>
    <w:rsid w:val="002525C9"/>
    <w:rsid w:val="00256845"/>
    <w:rsid w:val="002645D0"/>
    <w:rsid w:val="0027548C"/>
    <w:rsid w:val="00284934"/>
    <w:rsid w:val="00287690"/>
    <w:rsid w:val="002A0AB5"/>
    <w:rsid w:val="002A161F"/>
    <w:rsid w:val="002D04C5"/>
    <w:rsid w:val="002E4DE2"/>
    <w:rsid w:val="003021ED"/>
    <w:rsid w:val="00325C2B"/>
    <w:rsid w:val="00363F34"/>
    <w:rsid w:val="00365491"/>
    <w:rsid w:val="00367020"/>
    <w:rsid w:val="00371078"/>
    <w:rsid w:val="00371758"/>
    <w:rsid w:val="00383005"/>
    <w:rsid w:val="003A2084"/>
    <w:rsid w:val="003D5E0C"/>
    <w:rsid w:val="003E00C7"/>
    <w:rsid w:val="003E2DFF"/>
    <w:rsid w:val="00406703"/>
    <w:rsid w:val="0043635B"/>
    <w:rsid w:val="0044629D"/>
    <w:rsid w:val="004676D4"/>
    <w:rsid w:val="0049304E"/>
    <w:rsid w:val="004E520F"/>
    <w:rsid w:val="004F241F"/>
    <w:rsid w:val="005000C3"/>
    <w:rsid w:val="00510FB7"/>
    <w:rsid w:val="00521220"/>
    <w:rsid w:val="00553923"/>
    <w:rsid w:val="0055778F"/>
    <w:rsid w:val="00561D3D"/>
    <w:rsid w:val="00565F0B"/>
    <w:rsid w:val="00581A6B"/>
    <w:rsid w:val="0059682A"/>
    <w:rsid w:val="005A0026"/>
    <w:rsid w:val="005A2E36"/>
    <w:rsid w:val="005B2EAC"/>
    <w:rsid w:val="005E44F6"/>
    <w:rsid w:val="006119FE"/>
    <w:rsid w:val="00616D41"/>
    <w:rsid w:val="00623AA0"/>
    <w:rsid w:val="006305EC"/>
    <w:rsid w:val="00642EBD"/>
    <w:rsid w:val="00674E79"/>
    <w:rsid w:val="00682D3F"/>
    <w:rsid w:val="00684749"/>
    <w:rsid w:val="00691EBC"/>
    <w:rsid w:val="00695B77"/>
    <w:rsid w:val="006B2C33"/>
    <w:rsid w:val="006B61F9"/>
    <w:rsid w:val="006C3F42"/>
    <w:rsid w:val="006E7651"/>
    <w:rsid w:val="006F55F4"/>
    <w:rsid w:val="007106EA"/>
    <w:rsid w:val="0072179D"/>
    <w:rsid w:val="007263EC"/>
    <w:rsid w:val="00741926"/>
    <w:rsid w:val="007501E8"/>
    <w:rsid w:val="00756E88"/>
    <w:rsid w:val="0076265E"/>
    <w:rsid w:val="00781726"/>
    <w:rsid w:val="00797896"/>
    <w:rsid w:val="00797DDA"/>
    <w:rsid w:val="007A4BAF"/>
    <w:rsid w:val="007D10DF"/>
    <w:rsid w:val="007E78BA"/>
    <w:rsid w:val="007F0AC6"/>
    <w:rsid w:val="00800B45"/>
    <w:rsid w:val="008014C8"/>
    <w:rsid w:val="00803F2A"/>
    <w:rsid w:val="00813659"/>
    <w:rsid w:val="00815488"/>
    <w:rsid w:val="00832372"/>
    <w:rsid w:val="00835E35"/>
    <w:rsid w:val="008629B8"/>
    <w:rsid w:val="00863DC0"/>
    <w:rsid w:val="008A17F4"/>
    <w:rsid w:val="008A3B13"/>
    <w:rsid w:val="008A7854"/>
    <w:rsid w:val="008C019F"/>
    <w:rsid w:val="008F608F"/>
    <w:rsid w:val="00906011"/>
    <w:rsid w:val="00917EB7"/>
    <w:rsid w:val="009211C8"/>
    <w:rsid w:val="00945D60"/>
    <w:rsid w:val="00970A5A"/>
    <w:rsid w:val="00973502"/>
    <w:rsid w:val="00994E98"/>
    <w:rsid w:val="009A33E3"/>
    <w:rsid w:val="009B1C4B"/>
    <w:rsid w:val="009C6C87"/>
    <w:rsid w:val="009D0D12"/>
    <w:rsid w:val="009E3976"/>
    <w:rsid w:val="00A00AF2"/>
    <w:rsid w:val="00A23827"/>
    <w:rsid w:val="00A33FB4"/>
    <w:rsid w:val="00A67851"/>
    <w:rsid w:val="00A940AF"/>
    <w:rsid w:val="00AA5B46"/>
    <w:rsid w:val="00AC68ED"/>
    <w:rsid w:val="00AD56ED"/>
    <w:rsid w:val="00AF4E45"/>
    <w:rsid w:val="00AF7A07"/>
    <w:rsid w:val="00B01A28"/>
    <w:rsid w:val="00B1509F"/>
    <w:rsid w:val="00B25492"/>
    <w:rsid w:val="00B530F2"/>
    <w:rsid w:val="00B576E2"/>
    <w:rsid w:val="00B66680"/>
    <w:rsid w:val="00B826F1"/>
    <w:rsid w:val="00B93E4E"/>
    <w:rsid w:val="00B96424"/>
    <w:rsid w:val="00BB4E82"/>
    <w:rsid w:val="00BB7A83"/>
    <w:rsid w:val="00BD26C4"/>
    <w:rsid w:val="00BD2EBB"/>
    <w:rsid w:val="00BD7F91"/>
    <w:rsid w:val="00BF3145"/>
    <w:rsid w:val="00C0161B"/>
    <w:rsid w:val="00C36087"/>
    <w:rsid w:val="00C36A67"/>
    <w:rsid w:val="00C473DC"/>
    <w:rsid w:val="00C53210"/>
    <w:rsid w:val="00C72387"/>
    <w:rsid w:val="00C945B0"/>
    <w:rsid w:val="00C948C4"/>
    <w:rsid w:val="00CC61DB"/>
    <w:rsid w:val="00CD4AD5"/>
    <w:rsid w:val="00D23ECA"/>
    <w:rsid w:val="00D33AC2"/>
    <w:rsid w:val="00D42F45"/>
    <w:rsid w:val="00D51FC1"/>
    <w:rsid w:val="00D6547B"/>
    <w:rsid w:val="00D93797"/>
    <w:rsid w:val="00DA0750"/>
    <w:rsid w:val="00DA57A1"/>
    <w:rsid w:val="00DD3909"/>
    <w:rsid w:val="00DF63D2"/>
    <w:rsid w:val="00DF77C1"/>
    <w:rsid w:val="00E12DB4"/>
    <w:rsid w:val="00E22326"/>
    <w:rsid w:val="00E245F3"/>
    <w:rsid w:val="00E722D1"/>
    <w:rsid w:val="00E90A15"/>
    <w:rsid w:val="00EB1B8B"/>
    <w:rsid w:val="00ED759A"/>
    <w:rsid w:val="00EF634C"/>
    <w:rsid w:val="00F1410D"/>
    <w:rsid w:val="00F239E7"/>
    <w:rsid w:val="00F32BCF"/>
    <w:rsid w:val="00F46E08"/>
    <w:rsid w:val="00F476B5"/>
    <w:rsid w:val="00F56664"/>
    <w:rsid w:val="00F57BA8"/>
    <w:rsid w:val="00F64AAB"/>
    <w:rsid w:val="00F64E0F"/>
    <w:rsid w:val="00F70DFF"/>
    <w:rsid w:val="00F75B8E"/>
    <w:rsid w:val="00F806A5"/>
    <w:rsid w:val="00F84A3B"/>
    <w:rsid w:val="00F91A8D"/>
    <w:rsid w:val="00F95955"/>
    <w:rsid w:val="00FF10FF"/>
    <w:rsid w:val="00FF26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084"/>
    <w:pPr>
      <w:widowControl w:val="0"/>
      <w:jc w:val="both"/>
    </w:pPr>
  </w:style>
  <w:style w:type="paragraph" w:styleId="1">
    <w:name w:val="heading 1"/>
    <w:basedOn w:val="a"/>
    <w:next w:val="a"/>
    <w:link w:val="1Char"/>
    <w:uiPriority w:val="99"/>
    <w:qFormat/>
    <w:rsid w:val="003021ED"/>
    <w:pPr>
      <w:keepNext/>
      <w:keepLines/>
      <w:spacing w:before="310" w:after="100" w:line="324" w:lineRule="auto"/>
      <w:jc w:val="center"/>
      <w:outlineLvl w:val="0"/>
    </w:pPr>
    <w:rPr>
      <w:rFonts w:ascii="Calibri" w:eastAsia="黑体" w:hAnsi="Calibri" w:cs="Times New Roman"/>
      <w:b/>
      <w:kern w:val="0"/>
      <w:sz w:val="32"/>
      <w:szCs w:val="32"/>
    </w:rPr>
  </w:style>
  <w:style w:type="paragraph" w:styleId="2">
    <w:name w:val="heading 2"/>
    <w:basedOn w:val="a"/>
    <w:next w:val="a"/>
    <w:link w:val="2Char"/>
    <w:autoRedefine/>
    <w:uiPriority w:val="99"/>
    <w:qFormat/>
    <w:rsid w:val="003021ED"/>
    <w:pPr>
      <w:keepNext/>
      <w:keepLines/>
      <w:spacing w:after="140" w:line="360" w:lineRule="auto"/>
      <w:jc w:val="center"/>
      <w:outlineLvl w:val="1"/>
    </w:pPr>
    <w:rPr>
      <w:rFonts w:ascii="Calibri" w:eastAsia="楷体_GB2312" w:hAnsi="Calibri" w:cs="Times New Roman"/>
      <w:b/>
      <w:kern w:val="0"/>
      <w:sz w:val="24"/>
      <w:szCs w:val="24"/>
    </w:rPr>
  </w:style>
  <w:style w:type="paragraph" w:styleId="3">
    <w:name w:val="heading 3"/>
    <w:basedOn w:val="a"/>
    <w:next w:val="a0"/>
    <w:link w:val="3Char"/>
    <w:autoRedefine/>
    <w:uiPriority w:val="99"/>
    <w:qFormat/>
    <w:rsid w:val="003021ED"/>
    <w:pPr>
      <w:keepNext/>
      <w:keepLines/>
      <w:spacing w:before="100" w:after="100" w:line="324" w:lineRule="auto"/>
      <w:jc w:val="center"/>
      <w:outlineLvl w:val="2"/>
    </w:pPr>
    <w:rPr>
      <w:rFonts w:ascii="Calibri" w:eastAsia="黑体" w:hAnsi="Calibri" w:cs="Times New Roman"/>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AC68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AC68ED"/>
    <w:rPr>
      <w:sz w:val="18"/>
      <w:szCs w:val="18"/>
    </w:rPr>
  </w:style>
  <w:style w:type="paragraph" w:styleId="a5">
    <w:name w:val="footer"/>
    <w:basedOn w:val="a"/>
    <w:link w:val="Char0"/>
    <w:uiPriority w:val="99"/>
    <w:semiHidden/>
    <w:unhideWhenUsed/>
    <w:rsid w:val="00AC68ED"/>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AC68ED"/>
    <w:rPr>
      <w:sz w:val="18"/>
      <w:szCs w:val="18"/>
    </w:rPr>
  </w:style>
  <w:style w:type="character" w:styleId="a6">
    <w:name w:val="Hyperlink"/>
    <w:basedOn w:val="a1"/>
    <w:uiPriority w:val="99"/>
    <w:semiHidden/>
    <w:unhideWhenUsed/>
    <w:rsid w:val="00AC68ED"/>
    <w:rPr>
      <w:caps w:val="0"/>
      <w:strike w:val="0"/>
      <w:dstrike w:val="0"/>
      <w:color w:val="000033"/>
      <w:u w:val="none"/>
      <w:effect w:val="none"/>
    </w:rPr>
  </w:style>
  <w:style w:type="paragraph" w:styleId="a7">
    <w:name w:val="Normal (Web)"/>
    <w:basedOn w:val="a"/>
    <w:uiPriority w:val="99"/>
    <w:semiHidden/>
    <w:unhideWhenUsed/>
    <w:rsid w:val="00AC68ED"/>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2"/>
    <w:uiPriority w:val="59"/>
    <w:rsid w:val="006305E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Date"/>
    <w:basedOn w:val="a"/>
    <w:next w:val="a"/>
    <w:link w:val="Char1"/>
    <w:uiPriority w:val="99"/>
    <w:semiHidden/>
    <w:unhideWhenUsed/>
    <w:rsid w:val="003021ED"/>
    <w:pPr>
      <w:ind w:leftChars="2500" w:left="100"/>
    </w:pPr>
  </w:style>
  <w:style w:type="character" w:customStyle="1" w:styleId="Char1">
    <w:name w:val="日期 Char"/>
    <w:basedOn w:val="a1"/>
    <w:link w:val="a9"/>
    <w:uiPriority w:val="99"/>
    <w:semiHidden/>
    <w:rsid w:val="003021ED"/>
  </w:style>
  <w:style w:type="character" w:customStyle="1" w:styleId="1Char">
    <w:name w:val="标题 1 Char"/>
    <w:basedOn w:val="a1"/>
    <w:link w:val="1"/>
    <w:uiPriority w:val="99"/>
    <w:rsid w:val="003021ED"/>
    <w:rPr>
      <w:rFonts w:ascii="Calibri" w:eastAsia="黑体" w:hAnsi="Calibri" w:cs="Times New Roman"/>
      <w:b/>
      <w:kern w:val="0"/>
      <w:sz w:val="32"/>
      <w:szCs w:val="32"/>
    </w:rPr>
  </w:style>
  <w:style w:type="character" w:customStyle="1" w:styleId="2Char">
    <w:name w:val="标题 2 Char"/>
    <w:basedOn w:val="a1"/>
    <w:link w:val="2"/>
    <w:uiPriority w:val="99"/>
    <w:rsid w:val="003021ED"/>
    <w:rPr>
      <w:rFonts w:ascii="Calibri" w:eastAsia="楷体_GB2312" w:hAnsi="Calibri" w:cs="Times New Roman"/>
      <w:b/>
      <w:kern w:val="0"/>
      <w:sz w:val="24"/>
      <w:szCs w:val="24"/>
    </w:rPr>
  </w:style>
  <w:style w:type="character" w:customStyle="1" w:styleId="3Char">
    <w:name w:val="标题 3 Char"/>
    <w:basedOn w:val="a1"/>
    <w:link w:val="3"/>
    <w:uiPriority w:val="99"/>
    <w:rsid w:val="003021ED"/>
    <w:rPr>
      <w:rFonts w:ascii="Calibri" w:eastAsia="黑体" w:hAnsi="Calibri" w:cs="Times New Roman"/>
      <w:b/>
      <w:bCs/>
      <w:sz w:val="24"/>
      <w:szCs w:val="24"/>
    </w:rPr>
  </w:style>
  <w:style w:type="paragraph" w:styleId="a0">
    <w:name w:val="Normal Indent"/>
    <w:basedOn w:val="a"/>
    <w:uiPriority w:val="99"/>
    <w:semiHidden/>
    <w:unhideWhenUsed/>
    <w:rsid w:val="003021ED"/>
    <w:pPr>
      <w:ind w:firstLineChars="200" w:firstLine="420"/>
    </w:pPr>
  </w:style>
</w:styles>
</file>

<file path=word/webSettings.xml><?xml version="1.0" encoding="utf-8"?>
<w:webSettings xmlns:r="http://schemas.openxmlformats.org/officeDocument/2006/relationships" xmlns:w="http://schemas.openxmlformats.org/wordprocessingml/2006/main">
  <w:divs>
    <w:div w:id="136263676">
      <w:bodyDiv w:val="1"/>
      <w:marLeft w:val="0"/>
      <w:marRight w:val="0"/>
      <w:marTop w:val="0"/>
      <w:marBottom w:val="0"/>
      <w:divBdr>
        <w:top w:val="none" w:sz="0" w:space="0" w:color="auto"/>
        <w:left w:val="none" w:sz="0" w:space="0" w:color="auto"/>
        <w:bottom w:val="none" w:sz="0" w:space="0" w:color="auto"/>
        <w:right w:val="none" w:sz="0" w:space="0" w:color="auto"/>
      </w:divBdr>
    </w:div>
    <w:div w:id="155616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36AE8-1D54-436B-A327-ED4165B5F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285</Words>
  <Characters>1629</Characters>
  <Application>Microsoft Office Word</Application>
  <DocSecurity>0</DocSecurity>
  <Lines>13</Lines>
  <Paragraphs>3</Paragraphs>
  <ScaleCrop>false</ScaleCrop>
  <Company/>
  <LinksUpToDate>false</LinksUpToDate>
  <CharactersWithSpaces>1911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2016-03-22T08:04:00Z</cp:lastPrinted>
  <dcterms:created xsi:type="dcterms:W3CDTF">2017-03-21T09:25:00Z</dcterms:created>
  <dcterms:modified xsi:type="dcterms:W3CDTF">2017-03-21T09:26:00Z</dcterms:modified>
</cp:coreProperties>
</file>